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Session 1A - Novel in silico methods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Chair: Jorge Meijas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Location: Kapelzaal</w:t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Jack Smith: DARS2 compound heterozygosity in the UK Biobank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Jana Hirzinger</w:t>
        <w:tab/>
        <w:t xml:space="preserve">: Locus-specific mediation analysis: Enhancing Trait-Specific Genetic Signal Identification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Nathaniel Bell: Examining the impact of non-additive SNP effects on predictive performance of polygenic scores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Robin Haak: LatenZy, non-parametric, binning-free estimation of latencies from neural spiking data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Session 1B - Development</w:t>
        <w:tab/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Location: Zaal 30</w:t>
        <w:tab/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Chair: Catarina de Osorio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Michael Maibach: Investigating mitochondrial motility in the context of synaptic plasticity and development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Sharma Additya: Dimensionality Reduction of Quantitative EEG and Clinical Profiles to Uncover Correlations with Rare Monogenic Neurodevelopmental Phenotypes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Shilpa Anand: Atypical Modulation of Cortical Dynamics and Excitation-Inhibition Balance Across Resting-States Reflects Higher Clinical Severity in Rare Monogenetic Neurodevelopmental Disorders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Session 1C - Translational neuroscience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Chair: Sophie van der Sluis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Location: Zaal 2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Romy van Voorst: The Impact of Vanishing White Matter on Unaffected Family Members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Stan Driessens: Human L3 pyramidal neurons sustain accurate and fast action potential firing contributing to increased input-output computations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Bernardo Maciel: Specificity of height and brain volume genetics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Session 2A - Cognition and Behavior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Chair: Nathan Marchant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rtl w:val="0"/>
        </w:rPr>
        <w:t xml:space="preserve">Location: Zaal 30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Sietse Kiewiet: Cross-modal interactions between primary auditory (A1) and primary visual cortex (V1)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Devika Kurup: UNRAVELING THE ROLE OF PIK3CD GOF MUTATION ON CNS AND BEHAVIOR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Panthea Nemat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Jiamiao Yang: Neural Mechanisms of Adolescent Social Decision-Making: Insights from Computational Modeling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Session 2B - Novel insights in MS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Chair: Anonio Luchicchi</w: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Location: Kapelzaal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Gema Muñoz: Characterization of the myelin lipid composition in non-lesioned areas of people with Multiple Sclerosis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Alida Chen: Neuronal TGFB2 overexpression promotes remyelination in experimental autoimmune encephalomyelitis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Niels Meijns: Myelin swelling dynamics in the CNS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Chaja van Ansenwoude: Natural killer cells acquire an activated and migratory phenotype in a unique same-birthyear cohort of people with multiple sclerosis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Session 3A - Alzheimer and aging</w:t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Chair: Harm Krugers</w:t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Location: Zaal 30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Sem Halters: APOE e4 dependent white matter infiltration of CD8 T cells associates with microglia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Yaran Zhang: Peripheral epigenetic aging predicts survival independent of Alzheimer’s neuropathology and cognition in centenarians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Daniel Alvarez Sirvent: Carrying specific HLA alleles decreases the chance of reaching healthy old age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Session 3B - Imaging the live human brain</w:t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Chair: Fransesca Siclari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b w:val="1"/>
          <w:rtl w:val="0"/>
        </w:rPr>
        <w:t xml:space="preserve">Location: Kapelzaal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Koen Helwegen: Overlapping and disorder-specific alterations in the functional connectome for four major psychiatric disorders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Jasmin Pasteuning: Stress dynamics in mood disorders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Caroline Broeder: Mechanisms and treatment of stress system dysregulation in depression with childhood trauma: A randomized controlled trial and fMRI study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Tjardo Postma</w:t>
        <w:tab/>
        <w:t xml:space="preserve">: White Matter Correlates of Repetitive Transcranial Magnetic Stimulation Combined with Exposure and Response Prevention Therapy in Obsessive-Compulsive Disorder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Session 4A - Synapses and plasticity</w:t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Chair: Guus Smit</w:t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Location: Zaal 30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Ana Rita Cunha: Keep the balance: Chronic silencing triggers opposite AIS plasticity mechanisms in excitatory and inhibitory neurons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Robin Clement: Functional Screening of Newly Validated Synaptic Proteins Reveals Novel Players in Neuronal Activity and Morphology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Adlin Abramian: LRRK2-mediated phosphorylation of exocytic RABs disrupts neuropeptide secretion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4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Session 4B - New approaches in psychiatric disorders</w:t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Chair: Femke de Vrij</w:t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Location: Zaal 2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Xiaoyi Feng: The Timing of Adolescent Experience Matters: Early-Life Adversity Selectively Alters Social Play; Observational Fear Is Calibrated in Adolescence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Suchita Reddy Enugala: A proteomics approach to CNV mouse models in understanding affected molecular and cellular pathways in schizophrenia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Anneke Vuuregge: Within-person association between daily physical activity and affect in youth remitted from depression and anxiety disorders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Wei-Ping Li: Unravelling molecular signature of schizophrenia using proteomics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Session 4C - iPSC derived network models</w:t>
      </w:r>
    </w:p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Chair: Roberto Montoro</w:t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Location: Kapelzaal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Sylvia Korhorn</w:t>
        <w:tab/>
        <w:t xml:space="preserve">: FUNCTIONAL ANALYSIS OF STXBP1 MISSENSE MUTATIONS DISCRIMINATES DIFFERENT DISEASE MECHANISMS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Kevin Marinus: Single-vector-based differentiation of induced pluripotent stem cells into GABAergic Neurons using Ascl1 and Dlx2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Sascha Koppes - Den Hertog</w:t>
        <w:tab/>
        <w:t xml:space="preserve">: Cholesterol regulates astrocyte reactivity and is dysregulated by ApoE4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